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6BAB2">
      <w:pPr>
        <w:numPr>
          <w:ilvl w:val="0"/>
          <w:numId w:val="0"/>
        </w:numPr>
        <w:spacing w:line="579" w:lineRule="exact"/>
        <w:jc w:val="both"/>
        <w:rPr>
          <w:rFonts w:hint="eastAsia" w:ascii="方正小标宋_GBK" w:hAnsi="方正小标宋_GBK" w:eastAsia="方正小标宋_GBK" w:cs="方正小标宋_GBK"/>
          <w:b w:val="0"/>
          <w:bCs/>
          <w:sz w:val="32"/>
          <w:szCs w:val="32"/>
          <w:shd w:val="clear" w:color="auto" w:fill="FFFFFF"/>
          <w:lang w:val="en-US" w:eastAsia="zh-CN"/>
        </w:rPr>
      </w:pPr>
      <w:r>
        <w:rPr>
          <w:rFonts w:hint="eastAsia" w:ascii="方正小标宋_GBK" w:hAnsi="方正小标宋_GBK" w:eastAsia="方正小标宋_GBK" w:cs="方正小标宋_GBK"/>
          <w:b w:val="0"/>
          <w:bCs/>
          <w:sz w:val="32"/>
          <w:szCs w:val="32"/>
          <w:shd w:val="clear" w:color="auto" w:fill="FFFFFF"/>
          <w:lang w:val="en-US" w:eastAsia="zh-CN"/>
        </w:rPr>
        <w:t>在中国共产党重庆化工职业学院第一次代表大会上的报告（2024.11.1）</w:t>
      </w:r>
    </w:p>
    <w:p w14:paraId="24D6ED7D">
      <w:pPr>
        <w:numPr>
          <w:ilvl w:val="0"/>
          <w:numId w:val="0"/>
        </w:numPr>
        <w:spacing w:line="579" w:lineRule="exact"/>
        <w:jc w:val="both"/>
        <w:rPr>
          <w:rFonts w:hint="eastAsia" w:ascii="方正小标宋_GBK" w:hAnsi="方正小标宋_GBK" w:eastAsia="方正小标宋_GBK" w:cs="方正小标宋_GBK"/>
          <w:b w:val="0"/>
          <w:bCs/>
          <w:sz w:val="32"/>
          <w:szCs w:val="32"/>
          <w:shd w:val="clear" w:color="auto" w:fill="FFFFFF"/>
          <w:lang w:val="en-US" w:eastAsia="zh-CN"/>
        </w:rPr>
      </w:pPr>
    </w:p>
    <w:p w14:paraId="03344805">
      <w:pPr>
        <w:spacing w:line="579" w:lineRule="exact"/>
        <w:jc w:val="center"/>
        <w:rPr>
          <w:rFonts w:hint="default" w:ascii="方正小标宋_GBK" w:eastAsia="方正小标宋_GBK"/>
          <w:sz w:val="44"/>
          <w:szCs w:val="44"/>
          <w:lang w:val="en-US" w:eastAsia="zh-CN"/>
        </w:rPr>
      </w:pPr>
      <w:r>
        <w:rPr>
          <w:rFonts w:hint="eastAsia" w:ascii="方正小标宋_GBK" w:eastAsia="方正小标宋_GBK"/>
          <w:sz w:val="44"/>
          <w:szCs w:val="44"/>
          <w:lang w:val="en-US" w:eastAsia="zh-CN"/>
        </w:rPr>
        <w:t>守正创新 勇毅笃行 奋楫争先 为建设特色鲜明西部领先国内一流双高校而团结奋斗</w:t>
      </w:r>
    </w:p>
    <w:p w14:paraId="35145490">
      <w:pPr>
        <w:rPr>
          <w:rFonts w:hint="eastAsia" w:ascii="方正仿宋_GBK" w:hAnsi="微软雅黑" w:eastAsia="方正仿宋_GBK"/>
          <w:sz w:val="32"/>
          <w:szCs w:val="32"/>
          <w:lang w:eastAsia="zh-CN"/>
        </w:rPr>
      </w:pPr>
    </w:p>
    <w:p w14:paraId="48BC3939">
      <w:pPr>
        <w:keepNext w:val="0"/>
        <w:keepLines w:val="0"/>
        <w:pageBreakBefore w:val="0"/>
        <w:widowControl/>
        <w:kinsoku/>
        <w:wordWrap/>
        <w:overflowPunct/>
        <w:topLinePunct w:val="0"/>
        <w:autoSpaceDE/>
        <w:autoSpaceDN/>
        <w:bidi w:val="0"/>
        <w:adjustRightInd/>
        <w:snapToGrid/>
        <w:textAlignment w:val="auto"/>
        <w:rPr>
          <w:rFonts w:hint="eastAsia" w:ascii="方正仿宋_GBK" w:hAnsi="微软雅黑" w:eastAsia="方正仿宋_GBK"/>
          <w:sz w:val="32"/>
          <w:szCs w:val="32"/>
          <w:lang w:eastAsia="zh-CN"/>
        </w:rPr>
      </w:pPr>
      <w:bookmarkStart w:id="14" w:name="_GoBack"/>
      <w:bookmarkEnd w:id="14"/>
      <w:r>
        <w:rPr>
          <w:rFonts w:hint="eastAsia" w:ascii="方正仿宋_GBK" w:hAnsi="微软雅黑" w:eastAsia="方正仿宋_GBK"/>
          <w:sz w:val="32"/>
          <w:szCs w:val="32"/>
          <w:lang w:eastAsia="zh-CN"/>
        </w:rPr>
        <w:t>三、今后五年的重点工作</w:t>
      </w:r>
    </w:p>
    <w:p w14:paraId="4ED0649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站在新的历史起点，必须有新的举措和新的作为。我们要坚持以人民为中心，切实增强责任感、使命感、紧迫感，明确重点任务，抓住关键环节，全力抓好两项中心任务，大力推进八项重点工程，奋力开创学校高水平建设新局面。</w:t>
      </w:r>
    </w:p>
    <w:p w14:paraId="1ABC375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（一）聚焦两项中心任务，谱写新“双高”建设重化新篇章</w:t>
      </w:r>
    </w:p>
    <w:p w14:paraId="3D3DB36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1.全力抓好新“双高”申报建设，全面推动办学实力新跨越</w:t>
      </w:r>
    </w:p>
    <w:p w14:paraId="75A3825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全力做好新一轮“双高”项目申报。认真学习新“双高”建设的标准，系统分析上一轮“双高”建设经验，对标当前职业教育改革的关键任务，组织精兵强将做好新一轮“双高计划”项目申报工作，力争申报成功国家级“双高”专业群、市级“双高”建设院校。</w:t>
      </w:r>
    </w:p>
    <w:p w14:paraId="46E51C2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xml:space="preserve">全面推进新一轮“双高”建设。系统谋划，按照新“双高”建设标准，瞄准未来科技进步和产业变革需求，动态调整专业方向和课程设置，强化专业与产业对接，深化专业建设和人才培养的有效贯通。优化特色专业集群，大力推动先进材料领域新建储能材料技术、材料工程技术等专业建设，培养新的专业优势，形成特色鲜明、布局合理、协调发展的专业体系。加强特色产业学院建设，推动教育链、人才链与产业链、创新链的有机衔接。围绕先进材料产业集群新建二级学院。持续优化资源配置，加大经费投入，优先保障双高建设需求。强化过程管理、结果考核。实现学校进入市内高职院校第一梯队，在“十五五”期间，学校被纳入重庆市高职院校升本规划。 </w:t>
      </w:r>
    </w:p>
    <w:p w14:paraId="5E8EF08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2.全力提升办学条件</w:t>
      </w:r>
      <w:bookmarkStart w:id="0" w:name="_Hlk177682191"/>
      <w:r>
        <w:rPr>
          <w:rFonts w:hint="eastAsia" w:ascii="方正仿宋_GBK" w:hAnsi="微软雅黑" w:eastAsia="方正仿宋_GBK"/>
          <w:sz w:val="32"/>
          <w:szCs w:val="32"/>
          <w:lang w:eastAsia="zh-CN"/>
        </w:rPr>
        <w:t>，全面保障教育教学新需求</w:t>
      </w:r>
    </w:p>
    <w:bookmarkEnd w:id="0"/>
    <w:p w14:paraId="55C7590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积极改善办学条件。多方集聚办学资源，提升财务管理和资金筹措能力，积极探索社会捐赠、校企合作等多元筹资渠道，抓好长寿校区二期工程建设，新建学生公寓D栋、图书馆、第二教学楼、体育馆等基础设施，完善校区功能，夯实硬件支撑。统筹规划校园人文景观，持续美化绿化校园环境，完成校园文化建设、景观绿化改造等工程建设，营造良好育人氛围。</w:t>
      </w:r>
    </w:p>
    <w:p w14:paraId="385B4F3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拓展建设新校区。加强与长寿区、市发展改革委等相关方对接，争取获得校区扩建用地支持，新增1000亩办学发展用地，服务学校长远发展。坚持高标准规划建设，着眼职业教育与经济社会发展，聚焦校园功能、生态、文化等维度，科学做好新校区规划设计，高质量推进新校区建设，打造精品工程、样板工程、平安工程，让新校区建设与学校事业发展、属地经济社会发展同频共振、相得益彰。</w:t>
      </w:r>
    </w:p>
    <w:p w14:paraId="3CBF3C5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完善江北校区功能定位。充分利用江北老校区区位优势、资源特点，科学确定江北校区功能定位，对校区内的基础设施进行全面评估，根据需要进行升级改造，完成亮化提升工程，满足师生教学生活需求，提升校区的综合服务能力，将江北校区打造成培训教育、技能鉴定、考试考点的教育高地。</w:t>
      </w:r>
    </w:p>
    <w:p w14:paraId="6FBFA26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（二）紧抓八项重点工程，推进学校高质量发展新境界</w:t>
      </w:r>
    </w:p>
    <w:p w14:paraId="41B32FA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1.实施立德树人工程，全面实现人才培养质量新提升</w:t>
      </w:r>
    </w:p>
    <w:p w14:paraId="2FB21A5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坚持不懈用习近平新时代中国特色社会主义思想铸魂育人。坚持立德树人、培根铸魂。落实“时代新人铸魂工程”，实施大思政课提升行动，打造“红岩思政”“课前五分钟”等思政育人品牌，完善日常思政教育评价体系，大力推进大中小学思政教育一体化建设，健全完善“大思政”工作格局，培养德智体美劳全面发展的时代新人。加强马克思主义学院建设，深化新时代学校思想政治理论课改革创新，全面推进高校课程思政高质量建设，推动课程思政与思政课程同向发力，持续培育和践行社会主义核心价值观。持续开展校企双主体育人，完善校企协同育人机制，提升学生职业精神。</w:t>
      </w:r>
    </w:p>
    <w:p w14:paraId="39E88AA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创新思政教育模式，增强教育实效。全面加强新时代高校辅导员队伍建设，实施辅导员发展晋升畅通行动。发挥共青团等在学生思想政治工作中的主力军作用，教育引导青年大学生坚定马克思主义信仰、中国特色社会主义信念和中华民族伟大复兴信心，立报国强国大志向、做挺膺担当奋斗者。不断拓展实践育人和网络育人的空间和阵地，在实践中加强和改进新时代学校思想政治教育。利用现代信息技术手段，打造线上线下相结合的思政教育平台。建成更加完善的“三全育人”体系，坚持五育并举，促进学生德智体美劳全面发展。建立家校共育机制，形成家校共育的良好局面。深化“一站式”学生社区特色建设，强化“成长”与“成才”教育的融合。构建协同育人新格局，形成协同育人的合力。</w:t>
      </w:r>
    </w:p>
    <w:p w14:paraId="76A5831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bookmarkStart w:id="1" w:name="OLE_LINK9"/>
      <w:bookmarkStart w:id="2" w:name="OLE_LINK10"/>
      <w:r>
        <w:rPr>
          <w:rFonts w:hint="eastAsia" w:ascii="方正仿宋_GBK" w:hAnsi="微软雅黑" w:eastAsia="方正仿宋_GBK"/>
          <w:sz w:val="32"/>
          <w:szCs w:val="32"/>
          <w:lang w:eastAsia="zh-CN"/>
        </w:rPr>
        <w:t>2.实施产教融合创新工程，构建开放办学新格局</w:t>
      </w:r>
    </w:p>
    <w:p w14:paraId="681D62B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构建开放办学格局。围绕国家重大发展战略、地方经济社会和行业发展需求，统筹国内外资源，不断加强战略规划，着力构建更全方位、更宽领域、更多层次的开放办学新格局。坚持“走出去、请进来”，持续优化校院两级协同推进机制，通过战略合作、共建平台等多种产学研合作方式，为学校发展争取更多的政策、项目和资金支持。</w:t>
      </w:r>
    </w:p>
    <w:p w14:paraId="085E0A8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搭建校地合作平台。主动争取各级政府部门支持，鼓励和吸引行业企业参与学校办学，进一步密切与政府、企业、科研院所的实质性合作，持续深化校地共赢合作。充分发挥重庆市先进材料产教联合体等平台作用，持续健全产教融合、校企合作、科教融汇机制，深化“政产学研用”多元主体协同育人和发展模式。加大与行业产业、企业园区的深度对接、高效融合，深入推动与地方政府的战略合作，实现校地企携手发展。</w:t>
      </w:r>
    </w:p>
    <w:p w14:paraId="3181110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创新校企合作机制。依托重庆化医职教集团、成渝地区双城经济圈化工职业教育产教协同发展联盟积极创新校企合作机制，加强校企合作培养制度建设，联合培养高技能人才。在校企合作办学、提高就业质量的办学观念实践中，进一步明确职业院校在高技能人才培养中的地位和作用，以互利互赢为原则，以技能成才为目标，以推荐就业为关键环节，通过建立相应的工作机制，校企双方合作开展高技能教育，促进学生高技能就业。</w:t>
      </w:r>
    </w:p>
    <w:p w14:paraId="31E7C72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重点打造高质量市域产教联合体。出台推进重庆市先进材料产教联合体（长寿区）建设工作方案，健全组织机构，落实人财物保障，实现实体化运行。构建供需对接资源共建模式，建立多元共育人才培养体系，拓展产教互促服务发展方式，打表推进各项建设任务。联合各方进一步完善治理体系，整合产业有关产教要素、产教资源，形成价值共创、利益共享的“赋能”系统。加大资金投入，积极争取政策与资金支持，为联合体的运营和项目实施提供稳定资金来源。持续增加联合体成员单位，推动市域产教联合体之间、国内国际职业教育机构之间的交流合作，形成优势互补、资源共享的良好局面，提升联合体的国际化水平。</w:t>
      </w:r>
      <w:bookmarkEnd w:id="1"/>
      <w:bookmarkEnd w:id="2"/>
    </w:p>
    <w:p w14:paraId="115A53F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3.实施“五金”强基工程，夯实学校事业发展新基建</w:t>
      </w:r>
    </w:p>
    <w:p w14:paraId="711F4D9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开展“金专业”提升行动，打造一批高水平专业群。聚焦先进材料产业链，动态优化专业设置，持续打造1个具有全国影响力的材料化工高水平专业群，2个具有“化工医药”鲜明特色的市级专业群，N个深度服务重庆“33618”产业集群的专业集群，形成1个核心、2个支撑、N个协同的“1+2+N”层次分明、结构互补的专业新架构。加强与产业、企业、行业合作，共同制定人才培养方案，确保人才培养与产业发展需求紧密对接。开展中高本贯通培养模式，培养现代材料化工产业链和绿色循环经济体系急需的高素质技术技能人才。建成国家专业资源库项目1个、国家级技能竞赛获奖10项以上、就业率达到95%以上、专业对口率提升至80%以上、专业满意度达到97%以上的目标。</w:t>
      </w:r>
    </w:p>
    <w:p w14:paraId="316CB49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开展“金课程”建设行动，建设一批一流核心课程。校企共建课程开发中心，紧密契合产业最新技术、先进工艺、行业规范及国际标准，紧跟先进材料行业发展步伐，深度融入企业真实案例，协同开发出“岗位匹配度高、数智化深度融合”的特色优质核心课程。引进国际顶尖的材料化工课程资源，打造具有前沿探索性、高度实践性和创新引领性的高质量课程体系。形成一系列材料化工行业特色明显、国际广阔视野的优质课程，构建起“基础共享+核心特显+拓展互选”的课程体系架构，满足“资源共享、特色凸显、个性成长”多元化教学需求。扩大精品课程辐射范围，全面推动课程教学质量提升。探索课程学分互认与资源共享的有效机制，建设10门以上在国家或省部级具有示范引领作用的精品课程。</w:t>
      </w:r>
    </w:p>
    <w:p w14:paraId="077E389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开展“金师资”锻造行动，建设一支高水平双师队伍。涵养高尚师德师风，大力弘扬和践行教育家精神，将教师思想政治素质和师德师风建设作为教师队伍建设的首要任务，引导教师坚持“四个相统一”，当好“四个引路人”。建设产教虚拟教研室，校企协同开展教研活动，大力培育高水平教学创新团队。选派教师到头部企业轮岗锻炼，参与企业生产运营和技术创新。设立特设岗位，吸引大国工匠、能工巧匠、技能大师、技艺传承人等到校兼职兼课。与长寿经开区共同建立园校融合示范区专家智库。加大人才服务保障力度，优化人才生态。培养一大批能够改进企业产品工艺、解决生产技术难题、提供社会咨询与服务的骨干教师。引育一批行业有权威、国际有影响的专业带头人和行业领军人才。实现专任教师中高级职称教师占比35%、“双师型”教师占比80%以上，培养省部级以上骨干教师、教学名师或技能大师等人才20名，培育市级以上教师教学团队5个。</w:t>
      </w:r>
    </w:p>
    <w:p w14:paraId="5E3BE34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开展“金教材”编创行动，开发一批优质新形态教材。深化教学改革，发掘材料化工领域“金教材”价值。构建“行业—企业—学校—出版社—数字资源公司”五位一体协同机制，全面协同教材编写、教材评审、教材出版，形成产教融合金教材团队。制定审核标准，确保教材高质量，注重融入新技术、新工艺、新方法、新标准，开发模块化、通俗易懂的“新形态”教材，推动教学内容和课程体系创新。新出版国家规划教材，打造反映材料化工领域最新技术和成果的高质量高职教材5部，出版对接重庆33618产业集群的教材20部。提升教育与产业契合度，促进学生全面发展，为材料化工领域人才培养奠定坚实基础。</w:t>
      </w:r>
    </w:p>
    <w:p w14:paraId="090D6FA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开展“金基地”拓展行动，打造一批高水平实践中心。聚焦材料化工领域，致力于拓展“金地”边界，打造高水平、开放性、创新性的材料化工实践中心。集教学、科研、实训、创新于一体，引入先进设备和技术，模拟真实生产环境和实验实训条件。深化校企合作，改革实践教学，共建实训基地，实现资源共享和优势互补，有效提升学生的实践技能和创新能力。建成示范性虚拟仿真实训基地，提高学生的学习效率和实操能力。制定实训设备技术标准，积极推动区域内职业教育和企业的共同发展。为师生及企业技术人才搭建卓越的实践平台，首期新建7500㎡，预计社会服务培训到账将达到3000万元，持续扩大社会服务影响力，为材料化工产业的发展贡献力量。</w:t>
      </w:r>
    </w:p>
    <w:p w14:paraId="3C71203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bookmarkStart w:id="3" w:name="OLE_LINK44"/>
      <w:r>
        <w:rPr>
          <w:rFonts w:hint="eastAsia" w:ascii="方正仿宋_GBK" w:hAnsi="微软雅黑" w:eastAsia="方正仿宋_GBK"/>
          <w:sz w:val="32"/>
          <w:szCs w:val="32"/>
          <w:lang w:eastAsia="zh-CN"/>
        </w:rPr>
        <w:t>4.实施科技提升工程，全面展现社会服务新作为</w:t>
      </w:r>
    </w:p>
    <w:p w14:paraId="1DA1930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持续增强科学研究能力。推动高水平科研成果产出转化应用，对接国家战略和重庆区域经济社会发展需求，强化有组织科研，稳步提升省部级项目立项年增长率，立项自科、社科基金等各类国家级项目8项、市级项目250项以上，力争建成1个以上市级科研平台，力争实现国家级项目的突破。打造具有一定社会影响力的新型化工智库，开展面向行业企业的政策咨询服务，产出一批高质量咨政成果。引入国内一流高校共建研发团队和科研平台，引进国家级和省部级科研平台共建分中心、研究院，引领学校科技创新活动，畅通科研成果转移转化路径。</w:t>
      </w:r>
    </w:p>
    <w:p w14:paraId="1A64CCB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持续提升社会服务能力。发挥重庆市化工行业国家职业技能鉴定所、国家级高技能人才培养基地、全市唯一危化特种作业考试点等学校独特优势和品牌优势，立足重庆，辐射带动西南地区社会培训、技能评价等事业高质量发展，建成国家级高技能人才培训基地。签约横向课题80项，授权专利等知识产权和成果转化430项以上。建好用好校内外实训资源，多举措培育高水平技术技能人才。加强资金和人才支持，坚持“三扶”并重，统筹推进技术、产业、消费、文化帮扶，赋能乡村振兴。</w:t>
      </w:r>
    </w:p>
    <w:p w14:paraId="134D830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持续推进“双创”战略落实。进一步优化创新创业管理制度，强化政策激励，打造优质场地，构建孵化体系，建强创新创业师资导师库，提升创新创业教学实效，开展各级各类创新创业活动，获得中国国际大学生创新大赛、“挑战杯”等大赛国家级奖项8项、市级奖项100项以上，实现国家级奖项突破，提升市级项目立项数量，提高学生创业率。举办创新创业论坛、讲座、沙龙等活动，营造浓厚的创新创业文化氛围。加大对成功创业典型的宣传力度，树立榜样效应，激发学生的创业热情和信心。建立健全创业服务体系，为创业者提供法律咨询、财务规划、市场拓展等全方位支持。</w:t>
      </w:r>
    </w:p>
    <w:bookmarkEnd w:id="3"/>
    <w:p w14:paraId="3BFE658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5.实施数字赋能工程，打造校园智治新图景</w:t>
      </w:r>
    </w:p>
    <w:p w14:paraId="1ACAB73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推进数字化融合创新。深入实施数字素养提升行动，完善课程体系，将数字素养提升融入教育教学全过程，推动师生牢固树立数字化思维和数字化理念，提升数字化应用能力。人才培养方案与行业及企业数字化需求对齐，实现专业人才培养数字化。提升教师AI教学能力，进行数字（AI）教学提升测评，师生数字化应用能力平均提升20%、30%。设置教育数字化科研、教研课题，强化数字教育研究。发挥高校人才优势，开发优质数字化课程资源，打造一批适应职业教育需要的精品在线开放课程。</w:t>
      </w:r>
    </w:p>
    <w:p w14:paraId="4A2899C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构建数字化教学新生态。融入产业数字化和数字产业化发展新要求，推动学校各专业群数字化改造和智能化升级。引进多元数字教育资源，满足学生个性化学习需求。充分利用国家智慧职教平台优质教学资源和应用服务，深入推进“AI+职业教育”教学改革。探索基于生成式人工智能的互动式教学模式，至少建立2个基于生成式人工智能的互动式教学示范案例，学生参与度和满意度均达到90%以上，研制并应用至少1个学校教学专用AI大模型，形成可复制的人智协同教学新模式案例。探索建立适应数字教育的教研、科研新模式。建立动态更新的学生学习成长数据库，推动教学评价数字化转型。加强教师教学数字画像，助力教师改进教学方法。</w:t>
      </w:r>
    </w:p>
    <w:p w14:paraId="671A92F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提升学校治理数字化水平。深入实施国家教育数字化战略行动，深度融入数字重庆建设，体系化推进数字校园建设，构建校园治理新模式。强化基础设施支撑，无线网络wifi6全覆盖，网络出口带宽提升至不低于40G。建成高性能、可扩展的智能算力中心，算力提升50%以上，满足未来5年发展需求。建成校级数字基座，实现教育管理精细化、智能化水平提升30%。加强数据治理与共享，强化业务应用谋划、建设与迭代升级，打造具有“重化”辨识度的教育应用场景，服务教育管理、满足师生工作学习需要、便捷社会公众办事。实现数字化水平由“基础好、条件好”向“服务好、支撑好”转变。</w:t>
      </w:r>
    </w:p>
    <w:p w14:paraId="14D9593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p>
    <w:p w14:paraId="4685E9D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6.实施国际交流拓展工程，</w:t>
      </w:r>
      <w:bookmarkStart w:id="4" w:name="OLE_LINK6"/>
      <w:bookmarkStart w:id="5" w:name="OLE_LINK7"/>
      <w:r>
        <w:rPr>
          <w:rFonts w:hint="eastAsia" w:ascii="方正仿宋_GBK" w:hAnsi="微软雅黑" w:eastAsia="方正仿宋_GBK"/>
          <w:sz w:val="32"/>
          <w:szCs w:val="32"/>
          <w:lang w:eastAsia="zh-CN"/>
        </w:rPr>
        <w:t>开启国际化办学新征程</w:t>
      </w:r>
    </w:p>
    <w:bookmarkEnd w:id="4"/>
    <w:bookmarkEnd w:id="5"/>
    <w:p w14:paraId="74A8A1A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深化国际合作交流。积极响应“一带一路”倡议，努力推进国际合作。紧密结合“双高”建设任务，提升学校国际化办学水平。结合学校的实际和优势，与我校特色学科群相匹配，建设与国际接轨的专业标准和教学资源。推动学科专业共建和国际产业学院的建立。积极推进“中文+职业技能”项目，积极构建以“中华优秀传统文化”为主线的中外人文交流平台。重视教职工海外培训和成果转化，加强国际化师资队伍的建设，打造国际课程教学团队。大力推行“走出去、引进来”战略，实现教职工海外培训和国际留学生来校学习项目常态化，学生境外访学、留学项目常态化，形成新时代对外合作与交流的战略方案。从服务国家战略、人才培养、师资建设、海外鲁班工坊的设立、学科建设、保障体系等方面切实推动学校对外合作工作迈上新的台阶。</w:t>
      </w:r>
    </w:p>
    <w:p w14:paraId="3D1DB24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打造“职教出海”品牌。进一步提升学校国际化办学水平，打造具有化工特色的“职教出海”品牌。积极服务“外向型”企业走出去，围绕产业发展对技术和人才的需求，为“外向型”企业开展“中文+技能”培训，立项建设丝路项目、汉语桥项目。牵头或参与开发具有国际影响力的专业标准、课程标准、教学资源、教学装备等，每年立项建设化医类标准3-5个。提升学校职业教育国际影响力，开展国际化在线精品课程建设3-5门，建设国际化微课项目资源库，培育认定国际化教学团队10个。积极推动境外办学、熊猫工坊、海外分院建设工作。</w:t>
      </w:r>
    </w:p>
    <w:p w14:paraId="6D3F37F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7.实施文化兴校工程，全面呈现校园文化新面貌</w:t>
      </w:r>
    </w:p>
    <w:p w14:paraId="464C7B0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持续强化精神价值引领。一以贯之继承发扬学校锲而不舍、砥砺奋进的优良传统，强化学校精神、“一训三风”、办学理念等精神文化体系的宣传教育，引导广大师生内化于心、外化于行。建设以美丽化工、化育英才为核心理念、鲜明特色的校园文化。通过提升环境育人功能、强化文体活动质效、优化文化体系建设等途径，不断推进学校文化育人创新发展。大力弘扬工匠精神、劳动精神、劳模精神、教育家精神，建成创新、协调、绿色、开放、共享的校园。办学条件和办学资源更加丰富，工作学习生活环境更加优越。文化软实力显著增强，优秀文化精品不断涌现。</w:t>
      </w:r>
    </w:p>
    <w:p w14:paraId="12BDD4B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持续丰富校园文化内涵。创作校歌、校赋，持续丰富校园精神文化体系。抓好制度文化建设，建立健全学校规章制度体系，使各项工作有章可循，依规依法治校水平更高。深化行为文化建设，结合课程思政等，用精神文化引导师生在精神状态、行为规范和文化品位等方面，不断体现和强化学校的价值观和精神特质，推动学校内涵发展，培育高素质人才。深化文明校园建设，以市级文明校园为平台，统筹整合全校资源，积极培育创建全国文明校园。强化与市级乃至全国级主流媒体的联络合作，及时总结并推广学校文化特色，打造亮丽名片。</w:t>
      </w:r>
    </w:p>
    <w:p w14:paraId="53F6C29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持续优化校园环境文化。推进环境文化建设，浓郁校园环境氛围。一体化推进校园环境文化设计建设，充分体现办学特色，实现环境育人功能。分批次建设特色文化墙、文化雕塑、文化长廊等景观建设，实施校园文化环境建设规划，不断提升环境文化的浸润功能。不断完善校史展览厅建设，办好建校60周年庆祝活动，向广大校友传递校史校情和校园文化。统筹规划新校区校园文化硬件设施建设工作，打造和谐统一的校园环境。</w:t>
      </w:r>
    </w:p>
    <w:p w14:paraId="704246F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8.实施治理水平提升工程，迈向治理效能新高度</w:t>
      </w:r>
    </w:p>
    <w:p w14:paraId="4E4F9E6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bookmarkStart w:id="6" w:name="_Toc29548"/>
      <w:r>
        <w:rPr>
          <w:rFonts w:hint="eastAsia" w:ascii="方正仿宋_GBK" w:hAnsi="微软雅黑" w:eastAsia="方正仿宋_GBK"/>
          <w:sz w:val="32"/>
          <w:szCs w:val="32"/>
          <w:lang w:eastAsia="zh-CN"/>
        </w:rPr>
        <w:t>持续推进依法治校。持续深化内部治理改革，完善与双高院校相适应的现代大学治理体系，全面提升学校治理水平。继续深入实施《重庆化工职业学院章程》，不断完善以《章程》为统领的管理制度体系，不断完善“党委领导、校长负责、教授治学、民主管理”的内部治理结构。</w:t>
      </w:r>
      <w:bookmarkStart w:id="7" w:name="OLE_LINK22"/>
      <w:bookmarkStart w:id="8" w:name="OLE_LINK23"/>
      <w:r>
        <w:rPr>
          <w:rFonts w:hint="eastAsia" w:ascii="方正仿宋_GBK" w:hAnsi="微软雅黑" w:eastAsia="方正仿宋_GBK"/>
          <w:sz w:val="32"/>
          <w:szCs w:val="32"/>
          <w:lang w:eastAsia="zh-CN"/>
        </w:rPr>
        <w:t>持续深化整治形式主义为基层减负</w:t>
      </w:r>
      <w:bookmarkEnd w:id="7"/>
      <w:bookmarkEnd w:id="8"/>
      <w:r>
        <w:rPr>
          <w:rFonts w:hint="eastAsia" w:ascii="方正仿宋_GBK" w:hAnsi="微软雅黑" w:eastAsia="方正仿宋_GBK"/>
          <w:sz w:val="32"/>
          <w:szCs w:val="32"/>
          <w:lang w:eastAsia="zh-CN"/>
        </w:rPr>
        <w:t>，坚持改革引领，推进体系重构、机制重塑、流程再造，促进治理模式创新，激发办学治校新活力。积极创建全国依法治校示范校、国家级青少年法治教育实践基地。规范完善学术权力运行机制，健全以学术委员会为中心的学术管理体系，维护保障学术权力规范化运行。深入推进依法治校，深化党务校务公开，切实保障师生知情权、参与权、表达权和监督权，充分发挥教代会、工会在民主管理和民主监督中的作用。</w:t>
      </w:r>
    </w:p>
    <w:bookmarkEnd w:id="6"/>
    <w:p w14:paraId="6644C95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bookmarkStart w:id="9" w:name="_Toc65788485"/>
      <w:bookmarkStart w:id="10" w:name="_Toc65830470"/>
      <w:r>
        <w:rPr>
          <w:rFonts w:hint="eastAsia" w:ascii="方正仿宋_GBK" w:hAnsi="微软雅黑" w:eastAsia="方正仿宋_GBK"/>
          <w:sz w:val="32"/>
          <w:szCs w:val="32"/>
          <w:lang w:eastAsia="zh-CN"/>
        </w:rPr>
        <w:t>深化管理机制改革。根据专业建设需要，优化机构设置，深化“放管服”改革，实施校院二级管理改革，提升内部治理水平和管理效能。稳步推进新时代教育评价改革，健全上下衔接、分层贯通的教师评价、学生评价和用人评价体系。持续深化“放管服”改革，强化二级学院办学主体地位和主体责任，充分激发办学活力。扎实推进教师职称评审改革，深化“破五唯”，强化业绩导向，努力建设高素质专业化创新型教师队伍。进一步深化岗位聘任制度改革，加强教师聘期考核管理与激励，完善绩效考核和分配制度，激发教师干事创业积极性、主动性和创造性。进一步凝聚数字化改革共识，推动体系重构、流程再造、机制重塑，实现内部治理结构、教育教学形态、专业建设、人才培养模式、服务师生方式等全方位变革，推动学校创新发展、高质量发展。</w:t>
      </w:r>
    </w:p>
    <w:bookmarkEnd w:id="9"/>
    <w:bookmarkEnd w:id="10"/>
    <w:p w14:paraId="6F43FE5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提高服务保障效能。</w:t>
      </w:r>
      <w:bookmarkStart w:id="11" w:name="OLE_LINK70"/>
      <w:bookmarkStart w:id="12" w:name="OLE_LINK71"/>
      <w:r>
        <w:rPr>
          <w:rFonts w:hint="eastAsia" w:ascii="方正仿宋_GBK" w:hAnsi="微软雅黑" w:eastAsia="方正仿宋_GBK"/>
          <w:sz w:val="32"/>
          <w:szCs w:val="32"/>
          <w:lang w:eastAsia="zh-CN"/>
        </w:rPr>
        <w:t>推进学校“十四五”事业发展规划圆满收官，</w:t>
      </w:r>
      <w:bookmarkEnd w:id="11"/>
      <w:bookmarkEnd w:id="12"/>
      <w:r>
        <w:rPr>
          <w:rFonts w:hint="eastAsia" w:ascii="方正仿宋_GBK" w:hAnsi="微软雅黑" w:eastAsia="方正仿宋_GBK"/>
          <w:sz w:val="32"/>
          <w:szCs w:val="32"/>
          <w:lang w:eastAsia="zh-CN"/>
        </w:rPr>
        <w:t>做好“十五五”规划谋划建设工作，大力实施高质量发展五年行动计划，全面提升学校办学支撑力。持续构建平安育人环境，获市级“平安校园”命名。统筹推进民生改善与事业发展，健全师生利益诉求表达机制，稳步提高教职工和离退休老同志福利待遇。进一步完善家庭经济困难学生资助体系和困难教职工帮扶机制，加强对师生的人文关怀，促进师生身心健康。进一步加强医务室软硬件建设，提升医疗服务质量和应急保障水平。加强职工之家建设，努力创建全国模范职工之家，着力打造幸福校园。引导</w:t>
      </w:r>
      <w:bookmarkStart w:id="13" w:name="OLE_LINK59"/>
      <w:r>
        <w:rPr>
          <w:rFonts w:hint="eastAsia" w:ascii="方正仿宋_GBK" w:hAnsi="微软雅黑" w:eastAsia="方正仿宋_GBK"/>
          <w:sz w:val="32"/>
          <w:szCs w:val="32"/>
          <w:lang w:eastAsia="zh-CN"/>
        </w:rPr>
        <w:t>全校师生将个人成长与学校发展深度融合，积极投身于服务学校建设发展之中</w:t>
      </w:r>
      <w:bookmarkEnd w:id="13"/>
      <w:r>
        <w:rPr>
          <w:rFonts w:hint="eastAsia" w:ascii="方正仿宋_GBK" w:hAnsi="微软雅黑" w:eastAsia="方正仿宋_GBK"/>
          <w:sz w:val="32"/>
          <w:szCs w:val="32"/>
          <w:lang w:eastAsia="zh-CN"/>
        </w:rPr>
        <w:t>，发展成果惠及全校师生，显著增强师生获得感、幸福感、归属感、安全感。</w:t>
      </w:r>
    </w:p>
    <w:p w14:paraId="3C92E513">
      <w:pPr>
        <w:rPr>
          <w:rFonts w:hint="eastAsia" w:ascii="方正仿宋_GBK" w:hAnsi="微软雅黑" w:eastAsia="方正仿宋_GBK"/>
          <w:sz w:val="32"/>
          <w:szCs w:val="32"/>
          <w:lang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4E942B3"/>
    <w:rsid w:val="165E05FB"/>
    <w:rsid w:val="1666025D"/>
    <w:rsid w:val="17FA6613"/>
    <w:rsid w:val="18655FC3"/>
    <w:rsid w:val="195566ED"/>
    <w:rsid w:val="1CFE1B1D"/>
    <w:rsid w:val="1E7B4755"/>
    <w:rsid w:val="255614AE"/>
    <w:rsid w:val="281C4B01"/>
    <w:rsid w:val="2A2A2602"/>
    <w:rsid w:val="2ABD5FAC"/>
    <w:rsid w:val="338C3128"/>
    <w:rsid w:val="3E4C7FE1"/>
    <w:rsid w:val="450179AC"/>
    <w:rsid w:val="58631B0A"/>
    <w:rsid w:val="594903C6"/>
    <w:rsid w:val="5CE13766"/>
    <w:rsid w:val="657778C0"/>
    <w:rsid w:val="669947AA"/>
    <w:rsid w:val="681C3140"/>
    <w:rsid w:val="69782D5D"/>
    <w:rsid w:val="6B524446"/>
    <w:rsid w:val="6CCB3AEB"/>
    <w:rsid w:val="6DDA02F8"/>
    <w:rsid w:val="74454183"/>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qFormat/>
    <w:uiPriority w:val="99"/>
    <w:pPr>
      <w:keepNext/>
      <w:keepLines/>
      <w:spacing w:before="260" w:after="260" w:line="416" w:lineRule="auto"/>
      <w:outlineLvl w:val="1"/>
    </w:pPr>
    <w:rPr>
      <w:rFonts w:ascii="等线 Light" w:hAnsi="等线 Light" w:eastAsia="等线 Light" w:cs="Times New Roman"/>
      <w:b/>
      <w:bCs/>
      <w:sz w:val="32"/>
      <w:szCs w:val="32"/>
    </w:rPr>
  </w:style>
  <w:style w:type="paragraph" w:styleId="4">
    <w:name w:val="heading 3"/>
    <w:basedOn w:val="1"/>
    <w:next w:val="1"/>
    <w:qFormat/>
    <w:uiPriority w:val="99"/>
    <w:pPr>
      <w:spacing w:beforeAutospacing="1" w:afterAutospacing="1"/>
      <w:jc w:val="left"/>
      <w:outlineLvl w:val="2"/>
    </w:pPr>
    <w:rPr>
      <w:rFonts w:hint="eastAsia" w:ascii="宋体" w:hAnsi="宋体"/>
      <w:b/>
      <w:bCs/>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unhideWhenUsed/>
    <w:uiPriority w:val="99"/>
    <w:pPr>
      <w:spacing w:after="120"/>
      <w:ind w:left="420" w:leftChars="200"/>
    </w:p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2"/>
    <w:basedOn w:val="5"/>
    <w:qFormat/>
    <w:uiPriority w:val="0"/>
    <w:pPr>
      <w:spacing w:after="0" w:line="360" w:lineRule="auto"/>
      <w:ind w:left="0" w:leftChars="0"/>
    </w:pPr>
    <w:rPr>
      <w:rFonts w:ascii="等线" w:hAnsi="等线" w:eastAsia="仿宋_GB2312" w:cs="Times New Roman"/>
      <w:sz w:val="28"/>
    </w:rPr>
  </w:style>
  <w:style w:type="character" w:styleId="12">
    <w:name w:val="Strong"/>
    <w:basedOn w:val="11"/>
    <w:qFormat/>
    <w:uiPriority w:val="22"/>
    <w:rPr>
      <w:b/>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15</Pages>
  <Words>2655</Words>
  <Characters>2666</Characters>
  <Lines>12</Lines>
  <Paragraphs>3</Paragraphs>
  <TotalTime>0</TotalTime>
  <ScaleCrop>false</ScaleCrop>
  <LinksUpToDate>false</LinksUpToDate>
  <CharactersWithSpaces>2667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2025-02-25T02:07:07Z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500B4B4FDFE74798944F2AF50FD74A8A_13</vt:lpwstr>
  </property>
  <property fmtid="{D5CDD505-2E9C-101B-9397-08002B2CF9AE}" pid="4" name="KSOTemplateDocerSaveRecord">
    <vt:lpwstr>eyJoZGlkIjoiZWQ3NzI5OTE3NDY1MGU4Y2MwMzRlZjI1MzQxMTA2MGYifQ==</vt:lpwstr>
  </property>
</Properties>
</file>